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2-kings-17"/>
    <w:p>
      <w:pPr>
        <w:pStyle w:val="Heading1"/>
      </w:pPr>
      <w:r>
        <w:t xml:space="preserve">Homiletics Analysis: 2 Kings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17 is one of the most theologically dense chapters in the entire Former Prophets. It narrates the fall of Samaria and the deportation of the northern kingdom of Israel by Assyria under Shalmaneser V (722 BC), but the chapter does not stop with bare historical reportage. The narrator steps out of the story in verses 7–23 to deliver an extended theological autopsy — the longest such interpretive aside in Kings — explaining</w:t>
      </w:r>
      <w:r>
        <w:t xml:space="preserve"> </w:t>
      </w:r>
      <w:r>
        <w:rPr>
          <w:i/>
          <w:iCs/>
        </w:rPr>
        <w:t xml:space="preserve">why</w:t>
      </w:r>
      <w:r>
        <w:t xml:space="preserve"> </w:t>
      </w:r>
      <w:r>
        <w:t xml:space="preserve">this catastrophe happened. The diagnosis is systematic: Israel abandoned the LORD who had redeemed them from Egypt; they walked in the statutes of the nations; they built high places throughout the land; they set up pillars and Asherah poles; they served idols; they rejected the covenant and its ordinances; they went after false things and became false themselves; they sold themselves to do evil. The prophets had been sent, again and again, warning them to turn — and they stiffened their necks. Verse 14 is a hinge:</w:t>
      </w:r>
      <w:r>
        <w:t xml:space="preserve"> </w:t>
      </w:r>
      <w:r>
        <w:rPr>
          <w:i/>
          <w:iCs/>
        </w:rPr>
        <w:t xml:space="preserve">“They would not listen, but stiffened their necks as their fathers had done who did not believe in the LORD their God.”</w:t>
      </w:r>
      <w:r>
        <w:t xml:space="preserve"> </w:t>
      </w:r>
      <w:r>
        <w:t xml:space="preserve">Judah is then named as complicit in the same pattern (vv. 18–20), intensifying the warning beyond the historical moment. The chapter closes with an ironic postscript (vv. 24–41): the foreign peoples resettled in the land by Assyria worship the LORD alongside their own gods — producing a syncretistic half-religion condemned as counterfeit. Israel’s tragedy is doubled: the land is now populated by pagans who fear the LORD and fear their idols simultaneously. The warning aimed at Judah is by implication also aimed at any reader who supposes mixed devotion is sufficient.</w:t>
      </w:r>
    </w:p>
    <w:p>
      <w:pPr>
        <w:pStyle w:val="BodyText"/>
      </w:pPr>
      <w:r>
        <w:rPr>
          <w:b/>
          <w:bCs/>
        </w:rPr>
        <w:t xml:space="preserve">This Text — Intent:</w:t>
      </w:r>
    </w:p>
    <w:p>
      <w:pPr>
        <w:pStyle w:val="BodyText"/>
      </w:pPr>
      <w:r>
        <w:t xml:space="preserve">God is calling readers — in Israel, in Judah, and across every generation — to recognize that unfaithfulness to the covenant is not merely a moral failure but a catastrophic self-destruction, and that the pattern of rejecting God’s word while maintaining outward religious forms leads inevitably to ruin. The intent is both warning and invitation to honest self-examination:</w:t>
      </w:r>
      <w:r>
        <w:t xml:space="preserve"> </w:t>
      </w:r>
      <w:r>
        <w:rPr>
          <w:i/>
          <w:iCs/>
        </w:rPr>
        <w:t xml:space="preserve">Do you worship the LORD, or a domesticated version of Him assembled from what is convenient and culturally comfortable?</w:t>
      </w:r>
      <w:r>
        <w:t xml:space="preserve"> </w:t>
      </w:r>
      <w:r>
        <w:t xml:space="preserve">The chapter functions as a mirror — Israel’s sins are named with such specificity and repetition that no reader can fail to see their own capacity for the same drift. The closing section on Samarian syncretism (vv. 24–41) sharpens the warning: the danger is not only gross paganism but the subtle fusion of true religion and self-chosen additions that leaves the LORD nominally present but actually dethroned.</w:t>
      </w:r>
    </w:p>
    <w:p>
      <w:r>
        <w:pict>
          <v:rect style="width:0;height:1.5pt" o:hralign="center" o:hrstd="t" o:hr="t"/>
        </w:pict>
      </w:r>
    </w:p>
    <w:p>
      <w:pPr>
        <w:pStyle w:val="FirstParagraph"/>
      </w:pPr>
      <w:r>
        <w:rPr>
          <w:b/>
          <w:bCs/>
        </w:rPr>
        <w:t xml:space="preserve">Subject Sentence:</w:t>
      </w:r>
      <w:r>
        <w:t xml:space="preserve"> </w:t>
      </w:r>
      <w:r>
        <w:t xml:space="preserve">Israel’s exile exposes the catastrophic end of covenant unfaithfulness and the LORD’s just and patient judgment.</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truth that persistent rejection of His word — even under the cover of outward religion — dismantles a people from within, and that the only alternative to covenant faithfulness is covenant ruin.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theological autopsy (vv. 7–23) — editorial or authorial?</w:t>
      </w:r>
      <w:r>
        <w:t xml:space="preserve"> </w:t>
      </w:r>
      <w:r>
        <w:t xml:space="preserve">Some critical scholars treat the extended theological commentary of verses 7–23 as a Deuteronomistic redactional insertion, layered onto a thinner historical source, and therefore as a later theological interpretation rather than part of the original account. This matters for exposition because if the commentary is secondary, one might treat it as a theologically motivated gloss rather than the author’s own intent. The Reformed position — and the position demanded by a canonical reading of Scripture — is that the author-compiler of Kings, inspired by the Spirit, has shaped this account precisely as a theological whole. The commentary is not interruption; it</w:t>
      </w:r>
      <w:r>
        <w:t xml:space="preserve"> </w:t>
      </w:r>
      <w:r>
        <w:rPr>
          <w:i/>
          <w:iCs/>
        </w:rPr>
        <w:t xml:space="preserve">is</w:t>
      </w:r>
      <w:r>
        <w:t xml:space="preserve"> </w:t>
      </w:r>
      <w:r>
        <w:t xml:space="preserve">the point. Kings is theological history, not mere chronicle. The</w:t>
      </w:r>
      <w:r>
        <w:t xml:space="preserve"> </w:t>
      </w:r>
      <w:r>
        <w:t xml:space="preserve">“autopsy”</w:t>
      </w:r>
      <w:r>
        <w:t xml:space="preserve"> </w:t>
      </w:r>
      <w:r>
        <w:t xml:space="preserve">sections throughout Kings (e.g., 1 Kings 11, 1 Kings 14, 2 Kings 21) follow a recognizable pattern, and this pattern is the literary vehicle through which the inspired author explains the meaning of events. The text should be preached with the commentary sections carrying equal — indeed, primary — expository weight alongside the narrative sections.</w:t>
      </w:r>
    </w:p>
    <w:p>
      <w:pPr>
        <w:pStyle w:val="BodyText"/>
      </w:pPr>
      <w:r>
        <w:rPr>
          <w:b/>
          <w:bCs/>
        </w:rPr>
        <w:t xml:space="preserve">On the relationship between Israel’s sin and divine sovereignty:</w:t>
      </w:r>
      <w:r>
        <w:t xml:space="preserve"> </w:t>
      </w:r>
      <w:r>
        <w:t xml:space="preserve">A recurring interpretive tension concerns whether the extended rehearsal of Israel’s sins (vv. 7–23) implies that Israel’s exile could have been avoided had they simply chosen differently, or whether God’s sovereign purposes in judgment are the controlling frame. Arminian readings emphasize the repeated sending of prophets and the genuine calls to repentance as evidence that Israel bore full and avoidable responsibility — the exile was not fated but chosen. Reformed readings do not deny human responsibility (the text could not be more emphatic on this point) but insist that God’s covenantal purposes — including the purposes of judgment — operate through human agency without being reduced to it. The two truths coexist: Israel was genuinely responsible, genuinely warned, genuinely culpable; and the LORD’s word through Moses (Deuteronomy 28–30) was being fulfilled exactly as given. The preacher need not choose between these; the text holds both with equal firmness. What should be refuted is any reading that makes God’s judgment a surprise, an overreaction, or a failure of His purposes — the exile is presented as the</w:t>
      </w:r>
      <w:r>
        <w:t xml:space="preserve"> </w:t>
      </w:r>
      <w:r>
        <w:rPr>
          <w:i/>
          <w:iCs/>
        </w:rPr>
        <w:t xml:space="preserve">word of the LORD coming true</w:t>
      </w:r>
      <w:r>
        <w:t xml:space="preserve">, not as a divine contingency plan.</w:t>
      </w:r>
    </w:p>
    <w:p>
      <w:pPr>
        <w:pStyle w:val="BodyText"/>
      </w:pPr>
      <w:r>
        <w:rPr>
          <w:b/>
          <w:bCs/>
        </w:rPr>
        <w:t xml:space="preserve">On the Samarian syncretism section (vv. 24–41) — descriptive or prescriptive warning?</w:t>
      </w:r>
      <w:r>
        <w:t xml:space="preserve"> </w:t>
      </w:r>
      <w:r>
        <w:t xml:space="preserve">Some popular readings treat verses 24–41 as an ethnographic aside explaining the origins of the Samaritans — of interest mainly for New Testament background (John 4). This reading, while not wrong in noting the historical connection, dramatically undersells the passage’s function within chapter 17. The passage is a final theological counterpoint: the nations fear the LORD because a lion has attacked them, but their fear is entirely self-interested and mixed with continued idol worship (vv. 29–33, 41). This is not the fear of the LORD that is the beginning of wisdom; it is a pragmatic addition of the LORD to an existing religious portfolio. The passage indicts this as insufficient —</w:t>
      </w:r>
      <w:r>
        <w:t xml:space="preserve"> </w:t>
      </w:r>
      <w:r>
        <w:rPr>
          <w:i/>
          <w:iCs/>
        </w:rPr>
        <w:t xml:space="preserve">“they feared the LORD but also served their own gods”</w:t>
      </w:r>
      <w:r>
        <w:t xml:space="preserve"> </w:t>
      </w:r>
      <w:r>
        <w:t xml:space="preserve">(v. 33, 41). The prescriptive warning for Judah and all subsequent readers is clear: the LORD does not accept divided devotion. Any reading that treats this section as mere historical footnote should be qualified or refuted in favor of its obvious function as ironic conclusion and pointed warning.</w:t>
      </w:r>
    </w:p>
    <w:p>
      <w:pPr>
        <w:pStyle w:val="BodyText"/>
      </w:pPr>
      <w:r>
        <w:rPr>
          <w:b/>
          <w:bCs/>
        </w:rPr>
        <w:t xml:space="preserve">Reformed verdict:</w:t>
      </w:r>
      <w:r>
        <w:t xml:space="preserve"> </w:t>
      </w:r>
      <w:r>
        <w:t xml:space="preserve">The chapter’s claim is unified: covenant unfaithfulness, patiently warned against through the prophets, results in judgment that is simultaneously just, anticipated, and self-inflicted. God is sovereign in the exile; Israel is culpable for it; the prophets were vindicated by it; and the pattern warns every subsequent generation. Syncretism — mixing genuine worship of the LORD with self-chosen additions — is not a lesser form of faithfulness but a repudiation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covenantal curses pronounced by Moses are the precise framework within which the exile must be understood; Israel’s deportation is the fulfillment of the covenant’s own terms, making the exile not a divine improvisation but a word of the LORD being kept.</w:t>
      </w:r>
    </w:p>
    <w:p>
      <w:pPr>
        <w:numPr>
          <w:ilvl w:val="0"/>
          <w:numId w:val="1001"/>
        </w:numPr>
      </w:pPr>
      <w:r>
        <w:rPr>
          <w:b/>
          <w:bCs/>
        </w:rPr>
        <w:t xml:space="preserve">Leviticus 26:14–39</w:t>
      </w:r>
      <w:r>
        <w:t xml:space="preserve"> </w:t>
      </w:r>
      <w:r>
        <w:t xml:space="preserve">— The LORD’s own warning that persistent covenant unfaithfulness would result in exile and desolation of the land; chapter 17 is this passage’s historical realization and confirms that God’s word stands.</w:t>
      </w:r>
    </w:p>
    <w:p>
      <w:pPr>
        <w:numPr>
          <w:ilvl w:val="0"/>
          <w:numId w:val="1001"/>
        </w:numPr>
      </w:pPr>
      <w:r>
        <w:rPr>
          <w:b/>
          <w:bCs/>
        </w:rPr>
        <w:t xml:space="preserve">Jeremiah 7:1–28</w:t>
      </w:r>
      <w:r>
        <w:t xml:space="preserve"> </w:t>
      </w:r>
      <w:r>
        <w:t xml:space="preserve">— The Temple Sermon: Israel trusts in the temple’s presence as a guarantee of security while practicing the same list of covenant violations named in 2 Kings 17; God’s warning through Jeremiah echoes and extends the indictment of chapter 17, now aimed at Judah.</w:t>
      </w:r>
    </w:p>
    <w:p>
      <w:pPr>
        <w:numPr>
          <w:ilvl w:val="0"/>
          <w:numId w:val="1001"/>
        </w:numPr>
      </w:pPr>
      <w:r>
        <w:rPr>
          <w:b/>
          <w:bCs/>
        </w:rPr>
        <w:t xml:space="preserve">Romans 1:18–32</w:t>
      </w:r>
      <w:r>
        <w:t xml:space="preserve"> </w:t>
      </w:r>
      <w:r>
        <w:t xml:space="preserve">— Paul’s analysis of human idolatry as suppression of known truth, followed by God’s giving people over to the consequences of their chosen direction; the structure of 2 Kings 17 (rejection of known truth → idolatry → divine judgment as handing over) parallels Paul’s theological anatomy of sin and wrath.</w:t>
      </w:r>
    </w:p>
    <w:p>
      <w:pPr>
        <w:numPr>
          <w:ilvl w:val="0"/>
          <w:numId w:val="1001"/>
        </w:numPr>
      </w:pPr>
      <w:r>
        <w:rPr>
          <w:b/>
          <w:bCs/>
        </w:rPr>
        <w:t xml:space="preserve">Hebrews 3:7–19</w:t>
      </w:r>
      <w:r>
        <w:t xml:space="preserve"> </w:t>
      </w:r>
      <w:r>
        <w:t xml:space="preserve">—</w:t>
      </w:r>
      <w:r>
        <w:t xml:space="preserve"> </w:t>
      </w:r>
      <w:r>
        <w:t xml:space="preserve">“Today, if you hear His voice, do not harden your hearts as in the rebellion”</w:t>
      </w:r>
      <w:r>
        <w:t xml:space="preserve"> </w:t>
      </w:r>
      <w:r>
        <w:t xml:space="preserve">— the author of Hebrews cites the wilderness generation’s stiff-necked rejection of God’s word as the paradigmatic warning for every generation; 2 Kings 17 is the full-scale historical realization of this pattern, and Hebrews deploys it as ongoing warning for the new covenant community.</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confront the reader with the gravity of covenant drift — naming its stages, its self-deceptions, and its inevitable end — while grounding the call to undivided faithfulness in the character of the God who warned patiently before He judged finally.</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Hoshea’s accession in Israel; evaluated as evil, but less so than his predecessors</w:t>
            </w:r>
          </w:p>
        </w:tc>
        <w:tc>
          <w:tcPr/>
          <w:p>
            <w:pPr>
              <w:pStyle w:val="Compact"/>
            </w:pPr>
            <w:r>
              <w:t xml:space="preserve">Qualified condemnation — sets up the irony that even</w:t>
            </w:r>
            <w:r>
              <w:t xml:space="preserve"> </w:t>
            </w:r>
            <w:r>
              <w:t xml:space="preserve">“less evil”</w:t>
            </w:r>
            <w:r>
              <w:t xml:space="preserve"> </w:t>
            </w:r>
            <w:r>
              <w:t xml:space="preserve">leadership cannot arrest the covenant trajectory</w:t>
            </w:r>
          </w:p>
        </w:tc>
      </w:tr>
      <w:tr>
        <w:tc>
          <w:tcPr/>
          <w:p>
            <w:pPr>
              <w:pStyle w:val="Compact"/>
            </w:pPr>
            <w:r>
              <w:t xml:space="preserve">3–4</w:t>
            </w:r>
          </w:p>
        </w:tc>
        <w:tc>
          <w:tcPr/>
          <w:p>
            <w:pPr>
              <w:pStyle w:val="Compact"/>
            </w:pPr>
            <w:r>
              <w:t xml:space="preserve">Shalmaneser’s campaign against Israel; Hoshea’s tribute, then conspiracy with Egypt; Hoshea imprisoned</w:t>
            </w:r>
          </w:p>
        </w:tc>
        <w:tc>
          <w:tcPr/>
          <w:p>
            <w:pPr>
              <w:pStyle w:val="Compact"/>
            </w:pPr>
            <w:r>
              <w:t xml:space="preserve">Political collapse as immediate occasion; Egypt is a false refuge (cf. Isaiah 30–31)</w:t>
            </w:r>
          </w:p>
        </w:tc>
      </w:tr>
      <w:tr>
        <w:tc>
          <w:tcPr/>
          <w:p>
            <w:pPr>
              <w:pStyle w:val="Compact"/>
            </w:pPr>
            <w:r>
              <w:t xml:space="preserve">5–6</w:t>
            </w:r>
          </w:p>
        </w:tc>
        <w:tc>
          <w:tcPr/>
          <w:p>
            <w:pPr>
              <w:pStyle w:val="Compact"/>
            </w:pPr>
            <w:r>
              <w:t xml:space="preserve">Three-year siege of Samaria; city falls; Israel deported to Assyria — Halah, Habor, Gozan, cities of the Medes</w:t>
            </w:r>
          </w:p>
        </w:tc>
        <w:tc>
          <w:tcPr/>
          <w:p>
            <w:pPr>
              <w:pStyle w:val="Compact"/>
            </w:pPr>
            <w:r>
              <w:t xml:space="preserve">Bare historical narration; the deportation is stated with stark economy</w:t>
            </w:r>
          </w:p>
        </w:tc>
      </w:tr>
      <w:tr>
        <w:tc>
          <w:tcPr/>
          <w:p>
            <w:pPr>
              <w:pStyle w:val="Compact"/>
            </w:pPr>
            <w:r>
              <w:t xml:space="preserve">7–8</w:t>
            </w:r>
          </w:p>
        </w:tc>
        <w:tc>
          <w:tcPr/>
          <w:p>
            <w:pPr>
              <w:pStyle w:val="Compact"/>
            </w:pPr>
            <w:r>
              <w:t xml:space="preserve">Theological thesis introduced:</w:t>
            </w:r>
            <w:r>
              <w:t xml:space="preserve"> </w:t>
            </w:r>
            <w:r>
              <w:t xml:space="preserve">“This occurred because the people of Israel had sinned against the LORD their God”</w:t>
            </w:r>
          </w:p>
        </w:tc>
        <w:tc>
          <w:tcPr/>
          <w:p>
            <w:pPr>
              <w:pStyle w:val="Compact"/>
            </w:pPr>
            <w:r>
              <w:t xml:space="preserve">The narrator pivots to interpretation; the exile is not geopolitical accident but theological event</w:t>
            </w:r>
          </w:p>
        </w:tc>
      </w:tr>
      <w:tr>
        <w:tc>
          <w:tcPr/>
          <w:p>
            <w:pPr>
              <w:pStyle w:val="Compact"/>
            </w:pPr>
            <w:r>
              <w:t xml:space="preserve">9–12</w:t>
            </w:r>
          </w:p>
        </w:tc>
        <w:tc>
          <w:tcPr/>
          <w:p>
            <w:pPr>
              <w:pStyle w:val="Compact"/>
            </w:pPr>
            <w:r>
              <w:t xml:space="preserve">Itemized indictment: high places, pillars, Asherah poles, idols, incense on high places, serving Baal</w:t>
            </w:r>
          </w:p>
        </w:tc>
        <w:tc>
          <w:tcPr/>
          <w:p>
            <w:pPr>
              <w:pStyle w:val="Compact"/>
            </w:pPr>
            <w:r>
              <w:t xml:space="preserve">Comprehensive catalog of covenant violations; worship corrupted at every level</w:t>
            </w:r>
          </w:p>
        </w:tc>
      </w:tr>
      <w:tr>
        <w:tc>
          <w:tcPr/>
          <w:p>
            <w:pPr>
              <w:pStyle w:val="Compact"/>
            </w:pPr>
            <w:r>
              <w:t xml:space="preserve">13–14</w:t>
            </w:r>
          </w:p>
        </w:tc>
        <w:tc>
          <w:tcPr/>
          <w:p>
            <w:pPr>
              <w:pStyle w:val="Compact"/>
            </w:pPr>
            <w:r>
              <w:t xml:space="preserve">The LORD sent prophets and seers to warn; Israel refused, stiffened their necks, did not believe</w:t>
            </w:r>
          </w:p>
        </w:tc>
        <w:tc>
          <w:tcPr/>
          <w:p>
            <w:pPr>
              <w:pStyle w:val="Compact"/>
            </w:pPr>
            <w:r>
              <w:t xml:space="preserve">The divine patience emphasized; the human response is hardened rejection, not ignorance</w:t>
            </w:r>
          </w:p>
        </w:tc>
      </w:tr>
      <w:tr>
        <w:tc>
          <w:tcPr/>
          <w:p>
            <w:pPr>
              <w:pStyle w:val="Compact"/>
            </w:pPr>
            <w:r>
              <w:t xml:space="preserve">15–17</w:t>
            </w:r>
          </w:p>
        </w:tc>
        <w:tc>
          <w:tcPr/>
          <w:p>
            <w:pPr>
              <w:pStyle w:val="Compact"/>
            </w:pPr>
            <w:r>
              <w:t xml:space="preserve">Further specifics: rejected statutes, followed the nations, went after worthless idols, passed children through fire, used divination and sorcery, sold themselves to do evil</w:t>
            </w:r>
          </w:p>
        </w:tc>
        <w:tc>
          <w:tcPr/>
          <w:p>
            <w:pPr>
              <w:pStyle w:val="Compact"/>
            </w:pPr>
            <w:r>
              <w:t xml:space="preserve">“Became false”</w:t>
            </w:r>
            <w:r>
              <w:t xml:space="preserve"> </w:t>
            </w:r>
            <w:r>
              <w:t xml:space="preserve">(v. 15) — the idolater takes on the character of the idol (cf. Psalm 115:8); child sacrifice as the endpoint of unchecked idolatry</w:t>
            </w:r>
          </w:p>
        </w:tc>
      </w:tr>
      <w:tr>
        <w:tc>
          <w:tcPr/>
          <w:p>
            <w:pPr>
              <w:pStyle w:val="Compact"/>
            </w:pPr>
            <w:r>
              <w:t xml:space="preserve">18–20</w:t>
            </w:r>
          </w:p>
        </w:tc>
        <w:tc>
          <w:tcPr/>
          <w:p>
            <w:pPr>
              <w:pStyle w:val="Compact"/>
            </w:pPr>
            <w:r>
              <w:t xml:space="preserve">The LORD’s anger removed Israel from His sight; only Judah remained — but Judah also did not keep the LORD’s commandments</w:t>
            </w:r>
          </w:p>
        </w:tc>
        <w:tc>
          <w:tcPr/>
          <w:p>
            <w:pPr>
              <w:pStyle w:val="Compact"/>
            </w:pPr>
            <w:r>
              <w:t xml:space="preserve">Judah implicated; the warning extends beyond the historical moment of Israel’s fall</w:t>
            </w:r>
          </w:p>
        </w:tc>
      </w:tr>
      <w:tr>
        <w:tc>
          <w:tcPr/>
          <w:p>
            <w:pPr>
              <w:pStyle w:val="Compact"/>
            </w:pPr>
            <w:r>
              <w:t xml:space="preserve">21–23</w:t>
            </w:r>
          </w:p>
        </w:tc>
        <w:tc>
          <w:tcPr/>
          <w:p>
            <w:pPr>
              <w:pStyle w:val="Compact"/>
            </w:pPr>
            <w:r>
              <w:t xml:space="preserve">Historical summary: from the division of the kingdom, Israel followed Jeroboam’s sin and never departed from it</w:t>
            </w:r>
          </w:p>
        </w:tc>
        <w:tc>
          <w:tcPr/>
          <w:p>
            <w:pPr>
              <w:pStyle w:val="Compact"/>
            </w:pPr>
            <w:r>
              <w:t xml:space="preserve">Jeroboam named as the originating point of systemic apostasy in the north; the exile is the culmination of a multi-generational trajectory</w:t>
            </w:r>
          </w:p>
        </w:tc>
      </w:tr>
      <w:tr>
        <w:tc>
          <w:tcPr/>
          <w:p>
            <w:pPr>
              <w:pStyle w:val="Compact"/>
            </w:pPr>
            <w:r>
              <w:t xml:space="preserve">24</w:t>
            </w:r>
          </w:p>
        </w:tc>
        <w:tc>
          <w:tcPr/>
          <w:p>
            <w:pPr>
              <w:pStyle w:val="Compact"/>
            </w:pPr>
            <w:r>
              <w:t xml:space="preserve">The king of Assyria repopulates Samaria with peoples from Babylon, Cuthah, Avva, Hamath, Sepharvaim</w:t>
            </w:r>
          </w:p>
        </w:tc>
        <w:tc>
          <w:tcPr/>
          <w:p>
            <w:pPr>
              <w:pStyle w:val="Compact"/>
            </w:pPr>
            <w:r>
              <w:t xml:space="preserve">The land is filled with foreigners — Israel’s inheritance given to nations; irony intensifies</w:t>
            </w:r>
          </w:p>
        </w:tc>
      </w:tr>
      <w:tr>
        <w:tc>
          <w:tcPr/>
          <w:p>
            <w:pPr>
              <w:pStyle w:val="Compact"/>
            </w:pPr>
            <w:r>
              <w:t xml:space="preserve">25–28</w:t>
            </w:r>
          </w:p>
        </w:tc>
        <w:tc>
          <w:tcPr/>
          <w:p>
            <w:pPr>
              <w:pStyle w:val="Compact"/>
            </w:pPr>
            <w:r>
              <w:t xml:space="preserve">The new settlers do not fear the LORD; lions attack; they report to the king; a priest of Israel is sent back to teach</w:t>
            </w:r>
            <w:r>
              <w:t xml:space="preserve"> </w:t>
            </w:r>
            <w:r>
              <w:t xml:space="preserve">“the law of the god of the land”</w:t>
            </w:r>
          </w:p>
        </w:tc>
        <w:tc>
          <w:tcPr/>
          <w:p>
            <w:pPr>
              <w:pStyle w:val="Compact"/>
            </w:pPr>
            <w:r>
              <w:t xml:space="preserve">Horrifying irony: the nations must be taught to fear the LORD in the land He gave Israel, but the teaching comes from a priest of the corrupt northern religion</w:t>
            </w:r>
          </w:p>
        </w:tc>
      </w:tr>
      <w:tr>
        <w:tc>
          <w:tcPr/>
          <w:p>
            <w:pPr>
              <w:pStyle w:val="Compact"/>
            </w:pPr>
            <w:r>
              <w:t xml:space="preserve">29–33</w:t>
            </w:r>
          </w:p>
        </w:tc>
        <w:tc>
          <w:tcPr/>
          <w:p>
            <w:pPr>
              <w:pStyle w:val="Compact"/>
            </w:pPr>
            <w:r>
              <w:t xml:space="preserve">Each nation makes its own gods; they fear the LORD but also serve their own gods according to the custom of the nations from which they were carried</w:t>
            </w:r>
          </w:p>
        </w:tc>
        <w:tc>
          <w:tcPr/>
          <w:p>
            <w:pPr>
              <w:pStyle w:val="Compact"/>
            </w:pPr>
            <w:r>
              <w:t xml:space="preserve">Classic syncretism: the LORD added to the pantheon rather than displacing it; described, not commended</w:t>
            </w:r>
          </w:p>
        </w:tc>
      </w:tr>
      <w:tr>
        <w:tc>
          <w:tcPr/>
          <w:p>
            <w:pPr>
              <w:pStyle w:val="Compact"/>
            </w:pPr>
            <w:r>
              <w:t xml:space="preserve">34–40</w:t>
            </w:r>
          </w:p>
        </w:tc>
        <w:tc>
          <w:tcPr/>
          <w:p>
            <w:pPr>
              <w:pStyle w:val="Compact"/>
            </w:pPr>
            <w:r>
              <w:t xml:space="preserve">The narrator insists they do not truly fear the LORD; the covenant given to Jacob’s sons is restated as the standard of true fear — exclusive devotion</w:t>
            </w:r>
          </w:p>
        </w:tc>
        <w:tc>
          <w:tcPr/>
          <w:p>
            <w:pPr>
              <w:pStyle w:val="Compact"/>
            </w:pPr>
            <w:r>
              <w:t xml:space="preserve">“To this day”</w:t>
            </w:r>
            <w:r>
              <w:t xml:space="preserve"> </w:t>
            </w:r>
            <w:r>
              <w:t xml:space="preserve">(v. 34) — the narrator speaks across time; the standard remains unchanged</w:t>
            </w:r>
          </w:p>
        </w:tc>
      </w:tr>
      <w:tr>
        <w:tc>
          <w:tcPr/>
          <w:p>
            <w:pPr>
              <w:pStyle w:val="Compact"/>
            </w:pPr>
            <w:r>
              <w:t xml:space="preserve">41</w:t>
            </w:r>
          </w:p>
        </w:tc>
        <w:tc>
          <w:tcPr/>
          <w:p>
            <w:pPr>
              <w:pStyle w:val="Compact"/>
            </w:pPr>
            <w:r>
              <w:t xml:space="preserve">Summary indictment:</w:t>
            </w:r>
            <w:r>
              <w:t xml:space="preserve"> </w:t>
            </w:r>
            <w:r>
              <w:t xml:space="preserve">“So these nations feared the LORD and also served their carved images. Their children did likewise, and their children’s children — as their fathers did, so they do to this day.”</w:t>
            </w:r>
          </w:p>
        </w:tc>
        <w:tc>
          <w:tcPr/>
          <w:p>
            <w:pPr>
              <w:pStyle w:val="Compact"/>
            </w:pPr>
            <w:r>
              <w:t xml:space="preserve">Syncretism becomes entrenched, generational, self-perpetuating — the chapter closes on this image of counterfeit religion reproducing itself</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Fall of Samaria: Historical Narration</w:t>
            </w:r>
          </w:p>
        </w:tc>
      </w:tr>
      <w:tr>
        <w:tc>
          <w:tcPr/>
          <w:p>
            <w:pPr>
              <w:pStyle w:val="Compact"/>
            </w:pPr>
            <w:r>
              <w:t xml:space="preserve">2</w:t>
            </w:r>
          </w:p>
        </w:tc>
        <w:tc>
          <w:tcPr/>
          <w:p>
            <w:pPr>
              <w:pStyle w:val="Compact"/>
            </w:pPr>
            <w:r>
              <w:t xml:space="preserve">7–23</w:t>
            </w:r>
          </w:p>
        </w:tc>
        <w:tc>
          <w:tcPr/>
          <w:p>
            <w:pPr>
              <w:pStyle w:val="Compact"/>
            </w:pPr>
            <w:r>
              <w:t xml:space="preserve">The Theological Autopsy: Why Israel Fell</w:t>
            </w:r>
          </w:p>
        </w:tc>
      </w:tr>
      <w:tr>
        <w:tc>
          <w:tcPr/>
          <w:p>
            <w:pPr>
              <w:pStyle w:val="Compact"/>
            </w:pPr>
            <w:r>
              <w:t xml:space="preserve">3</w:t>
            </w:r>
          </w:p>
        </w:tc>
        <w:tc>
          <w:tcPr/>
          <w:p>
            <w:pPr>
              <w:pStyle w:val="Compact"/>
            </w:pPr>
            <w:r>
              <w:t xml:space="preserve">24–33</w:t>
            </w:r>
          </w:p>
        </w:tc>
        <w:tc>
          <w:tcPr/>
          <w:p>
            <w:pPr>
              <w:pStyle w:val="Compact"/>
            </w:pPr>
            <w:r>
              <w:t xml:space="preserve">The Repopulation: Syncretism Installed</w:t>
            </w:r>
          </w:p>
        </w:tc>
      </w:tr>
      <w:tr>
        <w:tc>
          <w:tcPr/>
          <w:p>
            <w:pPr>
              <w:pStyle w:val="Compact"/>
            </w:pPr>
            <w:r>
              <w:t xml:space="preserve">4</w:t>
            </w:r>
          </w:p>
        </w:tc>
        <w:tc>
          <w:tcPr/>
          <w:p>
            <w:pPr>
              <w:pStyle w:val="Compact"/>
            </w:pPr>
            <w:r>
              <w:t xml:space="preserve">34–41</w:t>
            </w:r>
          </w:p>
        </w:tc>
        <w:tc>
          <w:tcPr/>
          <w:p>
            <w:pPr>
              <w:pStyle w:val="Compact"/>
            </w:pPr>
            <w:r>
              <w:t xml:space="preserve">The Standard Restated: True Fear vs. Counterfeit Religion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exile exposes the catastrophic end of covenant unfaithfulness and the LORD’s just and patient judgment.</w:t>
      </w:r>
    </w:p>
    <w:p>
      <w:pPr>
        <w:pStyle w:val="BodyText"/>
      </w:pPr>
      <w:r>
        <w:rPr>
          <w:b/>
          <w:bCs/>
        </w:rPr>
        <w:t xml:space="preserve">Primary Claim:</w:t>
      </w:r>
      <w:r>
        <w:t xml:space="preserve"> </w:t>
      </w:r>
      <w:r>
        <w:t xml:space="preserve">God is confronting every reader with the truth that persistent rejection of His word — even under the cover of outward religion — dismantles a people from within, and that the only alternative to covenant faithfulness is covenant ruin.</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 — Recognize that the exile was not a geopolitical accident but the word of the LORD being kept.</w:t>
      </w:r>
      <w:r>
        <w:t xml:space="preserve"> </w:t>
      </w:r>
      <w:r>
        <w:t xml:space="preserve">The most disorienting thing about 2 Kings 17 for a modern reader is the narrator’s insistence that what looks like a military and political catastrophe is actually a theological event. Shalmaneser does not appear in the theological commentary — the LORD does. This demands a recalibration of how we interpret historical events and personal circumstances: God’s word is not background music to history; it is the score by which history plays. Where the LORD has spoken clearly — in covenant, in Scripture, in the gospel — His word will be fulfilled. This is not threatening news for those who are trusting in Him; it is the most stabilizing truth available. His warnings are real, and so are His promises.</w:t>
      </w:r>
    </w:p>
    <w:p>
      <w:pPr>
        <w:pStyle w:val="BodyText"/>
      </w:pPr>
      <w:r>
        <w:rPr>
          <w:b/>
          <w:bCs/>
        </w:rPr>
        <w:t xml:space="preserve">2. [Mind/Belief] — Understand that drift into unfaithfulness is always a process, never a sudden fall.</w:t>
      </w:r>
      <w:r>
        <w:t xml:space="preserve"> </w:t>
      </w:r>
      <w:r>
        <w:t xml:space="preserve">The narrator traces Israel’s apostasy across generations — from Jeroboam’s golden calves (v. 21) through accumulated high places, pillars, Asherah poles, divination, and finally child sacrifice. No generation woke up one morning and chose to burn their children to Molech. The end was reached by degrees, each step small enough to seem manageable, each compromise normalized by the previous one. This is not abstract ancient history. The person who has drifted from wholehearted devotion to God — in prayer, in Scripture, in honest obedience — rarely chose to drift; they chose a series of small accommodations that produced drift. The question is not</w:t>
      </w:r>
      <w:r>
        <w:t xml:space="preserve"> </w:t>
      </w:r>
      <w:r>
        <w:t xml:space="preserve">“How did I get here all at once?”</w:t>
      </w:r>
      <w:r>
        <w:t xml:space="preserve"> </w:t>
      </w:r>
      <w:r>
        <w:t xml:space="preserve">but</w:t>
      </w:r>
      <w:r>
        <w:t xml:space="preserve"> </w:t>
      </w:r>
      <w:r>
        <w:t xml:space="preserve">“What was the first small thing I told myself didn’t matter?”</w:t>
      </w:r>
    </w:p>
    <w:p>
      <w:pPr>
        <w:pStyle w:val="BodyText"/>
      </w:pPr>
      <w:r>
        <w:rPr>
          <w:b/>
          <w:bCs/>
        </w:rPr>
        <w:t xml:space="preserve">3. [Affections/Worship] — Let the grief of Israel’s story produce genuine sorrow over your own syncretism.</w:t>
      </w:r>
      <w:r>
        <w:t xml:space="preserve"> </w:t>
      </w:r>
      <w:r>
        <w:t xml:space="preserve">The chapter is meant to produce grief, not merely information. Israel had the law, the prophets, the sacrificial system, the LORD’s presence, the covenant — and still they mixed Him with everything else. The reader who sits with this long enough will find it uncomfortably familiar: the LORD acknowledged on Sunday but consulted last during the week; the Bible read devotionally while the culture’s wisdom is applied practically; God’s name invoked while the decisions are made by the same calculus as everyone else. This is the pattern of verses 24–41 reproduced in a thousand contemporary forms. Honest grief over this — not guilt-management but actual sorrow before God — is the affective movement the chapter is seeking to produce. The appropriate response to seeing your own face in this mirror is not self-justification but repentance.</w:t>
      </w:r>
    </w:p>
    <w:p>
      <w:pPr>
        <w:pStyle w:val="BodyText"/>
      </w:pPr>
      <w:r>
        <w:rPr>
          <w:b/>
          <w:bCs/>
        </w:rPr>
        <w:t xml:space="preserve">4. [Affections/Worship] — Find your security in the LORD’s covenant faithfulness, not in your religious activity or cultural Christianity.</w:t>
      </w:r>
      <w:r>
        <w:t xml:space="preserve"> </w:t>
      </w:r>
      <w:r>
        <w:t xml:space="preserve">The Israelites had religious activity in abundance — high places functioning, sacrifices offered, festivals observed, priests operating. None of it protected them, because the LORD was not at the center of it; He was one feature of it. The warning to Judah implicit in verses 18–20 is the warning to every generation that presumes on inherited religion, institutional Christianity, or cultural association with the faith. What the LORD seeks and what He has bound Himself to protect is a people who trust in</w:t>
      </w:r>
      <w:r>
        <w:t xml:space="preserve"> </w:t>
      </w:r>
      <w:r>
        <w:rPr>
          <w:i/>
          <w:iCs/>
        </w:rPr>
        <w:t xml:space="preserve">Him</w:t>
      </w:r>
      <w:r>
        <w:t xml:space="preserve"> </w:t>
      </w:r>
      <w:r>
        <w:t xml:space="preserve">— not a people who maintain the forms of religion while their hearts are distributed among competing loyalties. This should produce in the reader a searching question about whether their devotion to God is genuine or inherited, active or assumed — and a renewed turning toward the LORD Himself, not merely His institutions.</w:t>
      </w:r>
    </w:p>
    <w:p>
      <w:pPr>
        <w:pStyle w:val="BodyText"/>
      </w:pPr>
      <w:r>
        <w:rPr>
          <w:b/>
          <w:bCs/>
        </w:rPr>
        <w:t xml:space="preserve">5. [Will/Behavior] — Identify and remove one specific area of mixed devotion in your life this week.</w:t>
      </w:r>
      <w:r>
        <w:t xml:space="preserve"> </w:t>
      </w:r>
      <w:r>
        <w:t xml:space="preserve">The closing image of the chapter — the resettled nations fearing the LORD</w:t>
      </w:r>
      <w:r>
        <w:t xml:space="preserve"> </w:t>
      </w:r>
      <w:r>
        <w:rPr>
          <w:i/>
          <w:iCs/>
        </w:rPr>
        <w:t xml:space="preserve">and</w:t>
      </w:r>
      <w:r>
        <w:t xml:space="preserve"> </w:t>
      </w:r>
      <w:r>
        <w:t xml:space="preserve">serving their idols, with their children doing the same, and their grandchildren doing the same (v. 41) — is a picture of syncretism becoming self-perpetuating. What begins as a tolerated addition becomes a permanent fixture, then a tradition, then something the next generation inherits as normal. The antidote is not a general commitment to</w:t>
      </w:r>
      <w:r>
        <w:t xml:space="preserve"> </w:t>
      </w:r>
      <w:r>
        <w:t xml:space="preserve">“doing better”</w:t>
      </w:r>
      <w:r>
        <w:t xml:space="preserve"> </w:t>
      </w:r>
      <w:r>
        <w:t xml:space="preserve">but a specific identification:</w:t>
      </w:r>
      <w:r>
        <w:t xml:space="preserve"> </w:t>
      </w:r>
      <w:r>
        <w:rPr>
          <w:i/>
          <w:iCs/>
        </w:rPr>
        <w:t xml:space="preserve">What is the thing I have placed alongside the LORD that He has not placed there?</w:t>
      </w:r>
      <w:r>
        <w:t xml:space="preserve"> </w:t>
      </w:r>
      <w:r>
        <w:t xml:space="preserve">What practice, relationship, priority, or allegiance has been added to your devotion that actually competes with it? Name it. Remove it. Do not wait for a more convenient season — Israel waited through the entire period of the judges, the united monarchy, and the divided kingdom, and the waiting produced not gradual improvement but accumulated ruin.</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17 is one of the Old Testament’s clearest expositions of the doctrine of divine judgment as both just and covenantally grounded. The chapter teaches that God does not judge arbitrarily or impulsively; He judges in accordance with His own word, which was given clearly, repeated patiently through the prophets, and resisted persistently by Israel. This establishes several irreducible theological truths: that God’s warnings are genuine (He sends prophets before He sends armies); that human beings are genuinely responsible for their response to His word (the indictment of vv. 7–23 leaves no room for fatalism or victimhood); that idolatry is not merely a moral failing but an ontological one — the worshiper becomes like what he worships (v. 15,</w:t>
      </w:r>
      <w:r>
        <w:t xml:space="preserve"> </w:t>
      </w:r>
      <w:r>
        <w:t xml:space="preserve">“went after false things and became false”</w:t>
      </w:r>
      <w:r>
        <w:t xml:space="preserve">); and that God’s sovereignty over nations and history is exercised through, not despite, the choices of human beings. The chapter also establishes the insufficiency of mixed or partial devotion: the nations of verses 24–41 are condemned not for failing to acknowledge the LORD but for failing to acknowledge</w:t>
      </w:r>
      <w:r>
        <w:t xml:space="preserve"> </w:t>
      </w:r>
      <w:r>
        <w:rPr>
          <w:i/>
          <w:iCs/>
        </w:rPr>
        <w:t xml:space="preserve">only</w:t>
      </w:r>
      <w:r>
        <w:t xml:space="preserve"> </w:t>
      </w:r>
      <w:r>
        <w:t xml:space="preserve">the LORD.</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large-scale covenantal history lesson that demonstrates what Reformed theology has always insisted: the covenant of grace is not unconditional with respect to its visible, historical form in a national community. The Mosaic covenant carried both blessings for obedience and curses for apostasy (Deuteronomy 27–30), and 2 Kings 17 is the narrative vindication that God keeps both sides of His word. The Reformed understanding of God’s sovereignty does not evacuate human responsibility — this chapter holds both in full tension and refuses to resolve the tension in either direction. Furthermore, the chapter’s extended indictment of syncretism speaks directly to the Reformed</w:t>
      </w:r>
      <w:r>
        <w:t xml:space="preserve"> </w:t>
      </w:r>
      <w:r>
        <w:rPr>
          <w:i/>
          <w:iCs/>
        </w:rPr>
        <w:t xml:space="preserve">regulative principle</w:t>
      </w:r>
      <w:r>
        <w:t xml:space="preserve">: the LORD does not accept worship shaped by human preference and cultural accommodation alongside the worship He has commanded. The warning is also a gospel shadow: the exile that Israel experienced as the consequence of covenant-breaking is the exile that Christ bore in His own person — forsaken by the Father so that those who trust in Him need never be removed from God’s sight (v. 18). What happened to Israel historically is what the Mediator absorbed redemptively, making the covenant security of those in Christ utterly unlike the conditional national standing that Israel forfeited.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said this would happen. He said it through Moses, He said it through prophet after prophet, and He kept saying it for generations while Israel kept not listening — and then it happened exactly as He said. The exile is not a tragedy that slipped past God; it is the word of the LORD being kept. The same God who kept His warning keeps His promise. If you are in Christ, the covenant exile you deserved has already been absorbed by your Mediator, and no Shalmaneser — no power, no failure, no accumulated compromise — can deport you from the presence of God. But if your religion is a mixed devotion — the LORD acknowledged alongside whatever else you have decided you cannot live without — then this chapter is not ancient history. It is a mirror. Look at it honestly.</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the theological commentary (vv. 7–23) as secondary to the narrative.</w:t>
      </w:r>
      <w:r>
        <w:t xml:space="preserve"> </w:t>
      </w:r>
      <w:r>
        <w:t xml:space="preserve">The single most common mishandling of this chapter is to focus on the history (Assyria, Shalmaneser, the siege) and treat the theological autopsy as background material. This inverts the chapter’s own structure and intent. The narrative is the occasion; the commentary is the point. Preachers who spend most of their time on the political and military history and little time on the theological interpretation have preached the wrong sermon. The bulk of exposition should be spent in verses 7–23.</w:t>
      </w:r>
    </w:p>
    <w:p>
      <w:pPr>
        <w:numPr>
          <w:ilvl w:val="0"/>
          <w:numId w:val="1002"/>
        </w:numPr>
      </w:pPr>
      <w:r>
        <w:rPr>
          <w:b/>
          <w:bCs/>
        </w:rPr>
        <w:t xml:space="preserve">Moralizing the indictment without grounding it in the covenant.</w:t>
      </w:r>
      <w:r>
        <w:t xml:space="preserve"> </w:t>
      </w:r>
      <w:r>
        <w:t xml:space="preserve">It is tempting to preach the long list of Israel’s sins (high places, idols, divination, child sacrifice) as a catalog of bad behaviors to avoid, generating application through direct analogy (</w:t>
      </w:r>
      <w:r>
        <w:t xml:space="preserve">“our high places are our smartphones”</w:t>
      </w:r>
      <w:r>
        <w:t xml:space="preserve">). This produces moralism — a list of better behaviors — without engaging the covenantal structure that makes the sins what they are. Israel’s sin is not merely bad behavior; it is covenant infidelity against a God who redeemed them from Egypt, gave them His law, sent them His prophets, and bound Himself to them in an eternal relationship. The gravity of the indictment is inseparable from the specificity of that relationship. Preaching this passage without that framework produces a self-improvement lecture, not a gospel warning.</w:t>
      </w:r>
    </w:p>
    <w:p>
      <w:pPr>
        <w:numPr>
          <w:ilvl w:val="0"/>
          <w:numId w:val="1002"/>
        </w:numPr>
      </w:pPr>
      <w:r>
        <w:rPr>
          <w:b/>
          <w:bCs/>
        </w:rPr>
        <w:t xml:space="preserve">Missing the Judah warning (vv. 18–20) as the chapter’s living edge.</w:t>
      </w:r>
      <w:r>
        <w:t xml:space="preserve"> </w:t>
      </w:r>
      <w:r>
        <w:t xml:space="preserve">Israel is past; the deportation is complete; the history is settled. But the narrator turns to Judah — who is still present, still in the land, still reading — and says:</w:t>
      </w:r>
      <w:r>
        <w:t xml:space="preserve"> </w:t>
      </w:r>
      <w:r>
        <w:rPr>
          <w:i/>
          <w:iCs/>
        </w:rPr>
        <w:t xml:space="preserve">you are doing the same things</w:t>
      </w:r>
      <w:r>
        <w:t xml:space="preserve">. This is the chapter’s pastoral pivot. The preacher who does not bring this application forward has preached a eulogy for a dead kingdom rather than a warning for a living congregation. Every application in this chapter should be aimed at the living Judah in the room, not the dead Israel in the text.</w:t>
      </w:r>
    </w:p>
    <w:p>
      <w:pPr>
        <w:numPr>
          <w:ilvl w:val="0"/>
          <w:numId w:val="1002"/>
        </w:numPr>
      </w:pPr>
      <w:r>
        <w:rPr>
          <w:b/>
          <w:bCs/>
        </w:rPr>
        <w:t xml:space="preserve">Treating the Samarian syncretism (vv. 24–41) as a historical footnote about the origin of the Samaritans.</w:t>
      </w:r>
      <w:r>
        <w:t xml:space="preserve"> </w:t>
      </w:r>
      <w:r>
        <w:t xml:space="preserve">While this section does explain the ethnic and religious background of the Samaritans relevant to New Testament narratives, its primary function within chapter 17 is theological indictment — a closing illustration of what counterfeit religion looks like in practice.</w:t>
      </w:r>
      <w:r>
        <w:t xml:space="preserve"> </w:t>
      </w:r>
      <w:r>
        <w:t xml:space="preserve">“They feared the LORD but also served their own gods”</w:t>
      </w:r>
      <w:r>
        <w:t xml:space="preserve"> </w:t>
      </w:r>
      <w:r>
        <w:t xml:space="preserve">(v. 33) is the chapter’s final diagnosis, and it is aimed at anyone who supposes that adding the LORD to their existing commitments constitutes genuine worship. To reduce this to</w:t>
      </w:r>
      <w:r>
        <w:t xml:space="preserve"> </w:t>
      </w:r>
      <w:r>
        <w:t xml:space="preserve">“interesting background for John 4”</w:t>
      </w:r>
      <w:r>
        <w:t xml:space="preserve"> </w:t>
      </w:r>
      <w:r>
        <w:t xml:space="preserve">is to miss its load-bearing function within the chapter’s argument.</w:t>
      </w:r>
    </w:p>
    <w:p>
      <w:pPr>
        <w:numPr>
          <w:ilvl w:val="0"/>
          <w:numId w:val="1002"/>
        </w:numPr>
      </w:pPr>
      <w:r>
        <w:rPr>
          <w:b/>
          <w:bCs/>
        </w:rPr>
        <w:t xml:space="preserve">Preaching divine sovereignty in the exile without preaching human responsibility, or vice versa.</w:t>
      </w:r>
      <w:r>
        <w:t xml:space="preserve"> </w:t>
      </w:r>
      <w:r>
        <w:t xml:space="preserve">This chapter will not allow the preacher to resolve the tension between God’s sovereign purposes in judgment and Israel’s genuine culpability for their choices. Calvinist preachers may be tempted to emphasize God’s sovereignty so heavily that Israel’s responsibility is muted — leaving the congregation with a fatalistic theology that produces passivity (</w:t>
      </w:r>
      <w:r>
        <w:t xml:space="preserve">“whatever will be, will be”</w:t>
      </w:r>
      <w:r>
        <w:t xml:space="preserve">). Arminian preachers may emphasize human responsibility so heavily that God’s sovereignty in the exile is obscured — leaving the congregation with a theology in which God is reactive rather than governing. The text holds both; preach both.</w:t>
      </w:r>
    </w:p>
    <w:p>
      <w:pPr>
        <w:numPr>
          <w:ilvl w:val="0"/>
          <w:numId w:val="1002"/>
        </w:numPr>
      </w:pPr>
      <w:r>
        <w:rPr>
          <w:b/>
          <w:bCs/>
        </w:rPr>
        <w:t xml:space="preserve">Failing to move the application from Israel’s national apostasy to individual patterns of drift.</w:t>
      </w:r>
      <w:r>
        <w:t xml:space="preserve"> </w:t>
      </w:r>
      <w:r>
        <w:t xml:space="preserve">The chapter is addressed to a national community, and its primary frame is covenantal-national. But the pattern it describes — receiving God’s word, accommodating competing loyalties, tolerating mixed devotion, stiffening the neck against prophetic warning, gradual drift into functional idolatry — is not limited to national Israel. It is the anatomy of every individual’s capacity for spiritual self-destruction. The preacher who leaves the application at the national level (</w:t>
      </w:r>
      <w:r>
        <w:t xml:space="preserve">“civilizations decline when they reject God”</w:t>
      </w:r>
      <w:r>
        <w:t xml:space="preserve">) without bringing it to the individual level (</w:t>
      </w:r>
      <w:r>
        <w:t xml:space="preserve">“here is the specific form this takes in your life this week”</w:t>
      </w:r>
      <w:r>
        <w:t xml:space="preserve">) has preached a history lecture, not a sermon.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2026-07-14T21:03:08Z</dcterms:created>
  <dcterms:modified xsi:type="dcterms:W3CDTF">2026-07-14T21:03:08Z</dcterms:modified>
</cp:coreProperties>
</file>

<file path=docProps/custom.xml><?xml version="1.0" encoding="utf-8"?>
<Properties xmlns="http://schemas.openxmlformats.org/officeDocument/2006/custom-properties" xmlns:vt="http://schemas.openxmlformats.org/officeDocument/2006/docPropsVTypes"/>
</file>